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7A7B" w14:textId="77777777" w:rsidR="00B8675F" w:rsidRDefault="00B8675F"/>
    <w:p w14:paraId="44FAB51F" w14:textId="77777777" w:rsidR="00B8675F" w:rsidRDefault="00B8675F"/>
    <w:p w14:paraId="61034A97" w14:textId="77777777" w:rsidR="00B8675F" w:rsidRDefault="00B8675F"/>
    <w:p w14:paraId="56516503" w14:textId="77777777" w:rsidR="00B8675F" w:rsidRPr="009B2E52" w:rsidRDefault="00000000">
      <w:pPr>
        <w:rPr>
          <w:rFonts w:ascii="Fave Script Bold Pro" w:hAnsi="Fave Script Bold Pro"/>
          <w:sz w:val="40"/>
          <w:szCs w:val="40"/>
        </w:rPr>
      </w:pPr>
      <w:r w:rsidRPr="009B2E52">
        <w:rPr>
          <w:rFonts w:ascii="Fave Script Bold Pro" w:hAnsi="Fave Script Bold Pro"/>
          <w:sz w:val="40"/>
          <w:szCs w:val="40"/>
        </w:rPr>
        <w:t>Dear Families,</w:t>
      </w:r>
    </w:p>
    <w:p w14:paraId="0B9CFBFC" w14:textId="77777777" w:rsidR="00B8675F" w:rsidRDefault="00B8675F"/>
    <w:p w14:paraId="207BA87F" w14:textId="77777777" w:rsidR="00B8675F" w:rsidRDefault="00000000">
      <w:r>
        <w:t xml:space="preserve">This week, our school community will focus on the character strength of </w:t>
      </w:r>
      <w:r w:rsidRPr="009B2E52">
        <w:rPr>
          <w:rFonts w:ascii="Fave Script Bold Pro" w:hAnsi="Fave Script Bold Pro"/>
          <w:b/>
          <w:iCs/>
          <w:sz w:val="40"/>
          <w:szCs w:val="40"/>
        </w:rPr>
        <w:t>Bravery</w:t>
      </w:r>
      <w:r>
        <w:rPr>
          <w:b/>
          <w:i/>
        </w:rPr>
        <w:t xml:space="preserve">. </w:t>
      </w:r>
      <w:r>
        <w:t>Bravery means you act with mental, moral, or physical strength, even when you know things are difficult or scary.</w:t>
      </w:r>
    </w:p>
    <w:p w14:paraId="42FBE195" w14:textId="77777777" w:rsidR="00B8675F" w:rsidRDefault="00B8675F">
      <w:pPr>
        <w:rPr>
          <w:b/>
          <w:i/>
        </w:rPr>
      </w:pPr>
    </w:p>
    <w:p w14:paraId="5409FBFA" w14:textId="77777777" w:rsidR="00B8675F" w:rsidRDefault="00000000">
      <w:r>
        <w:t xml:space="preserve">Bravery refers to voluntary (not coerced) action in the face of a dangerous circumstance. This strength involves judgment; the brave person must </w:t>
      </w:r>
      <w:proofErr w:type="gramStart"/>
      <w:r>
        <w:t>have an understanding of</w:t>
      </w:r>
      <w:proofErr w:type="gramEnd"/>
      <w:r>
        <w:t xml:space="preserve"> the risks and consequences involved in acting. According to Socrates and Plato, forethought separates acts of valor from acts of rashness. This means that bravery isn’t simply fearlessness but instead the overcoming of fear.</w:t>
      </w:r>
    </w:p>
    <w:p w14:paraId="1E148069" w14:textId="77777777" w:rsidR="00B8675F" w:rsidRDefault="00B8675F"/>
    <w:p w14:paraId="138F06C7" w14:textId="77777777" w:rsidR="00B8675F" w:rsidRDefault="00000000">
      <w:r>
        <w:t>Overcoming fears is critically important in individual development, as it allows the person to do more and become more. A person can be brave every single day. For example, some people with social anxiety are brave just by leaving their houses and talking with people. On a physical level, bravery allows us to overcome fears, such as swimming or playing a sport. And, on a moral level, doing what we know to be right, despite the risks, gives us the sense that we are acting on behalf of a larger purpose.</w:t>
      </w:r>
    </w:p>
    <w:p w14:paraId="7103B078" w14:textId="77777777" w:rsidR="00B8675F" w:rsidRDefault="00B8675F"/>
    <w:p w14:paraId="3595E3EE" w14:textId="77777777" w:rsidR="00B8675F" w:rsidRDefault="00000000">
      <w:r>
        <w:t xml:space="preserve">To practice and encourage the character strength of bravery at home, please visit The Positivity Project’s mobile-friendly P2 for Families (available in </w:t>
      </w:r>
      <w:hyperlink r:id="rId6">
        <w:r>
          <w:rPr>
            <w:color w:val="1155CC"/>
            <w:u w:val="single"/>
          </w:rPr>
          <w:t>English</w:t>
        </w:r>
      </w:hyperlink>
      <w:r>
        <w:t xml:space="preserve"> and </w:t>
      </w:r>
      <w:hyperlink r:id="rId7">
        <w:r>
          <w:rPr>
            <w:color w:val="1155CC"/>
            <w:u w:val="single"/>
          </w:rPr>
          <w:t>Spanish</w:t>
        </w:r>
      </w:hyperlink>
      <w:r>
        <w:t>), where you will watch a video together and discuss a quote and three questions. Below are links to this week’s P2 for Families lessons. Click on the grade level that best meets your child’s needs.</w:t>
      </w:r>
    </w:p>
    <w:p w14:paraId="5255F082" w14:textId="77777777" w:rsidR="00B8675F" w:rsidRDefault="00B8675F"/>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8675F" w14:paraId="41BEEC78" w14:textId="77777777">
        <w:tc>
          <w:tcPr>
            <w:tcW w:w="1872" w:type="dxa"/>
            <w:shd w:val="clear" w:color="auto" w:fill="auto"/>
            <w:tcMar>
              <w:top w:w="100" w:type="dxa"/>
              <w:left w:w="100" w:type="dxa"/>
              <w:bottom w:w="100" w:type="dxa"/>
              <w:right w:w="100" w:type="dxa"/>
            </w:tcMar>
          </w:tcPr>
          <w:p w14:paraId="45F89D44" w14:textId="77777777" w:rsidR="00B8675F" w:rsidRDefault="00000000">
            <w:pPr>
              <w:widowControl w:val="0"/>
              <w:spacing w:line="240" w:lineRule="auto"/>
              <w:jc w:val="center"/>
              <w:rPr>
                <w:sz w:val="20"/>
                <w:szCs w:val="20"/>
              </w:rPr>
            </w:pPr>
            <w:hyperlink r:id="rId8">
              <w:r>
                <w:rPr>
                  <w:color w:val="1155CC"/>
                  <w:sz w:val="20"/>
                  <w:szCs w:val="20"/>
                  <w:u w:val="single"/>
                </w:rPr>
                <w:t>Pre-K–K</w:t>
              </w:r>
            </w:hyperlink>
          </w:p>
        </w:tc>
        <w:tc>
          <w:tcPr>
            <w:tcW w:w="1872" w:type="dxa"/>
            <w:shd w:val="clear" w:color="auto" w:fill="auto"/>
            <w:tcMar>
              <w:top w:w="100" w:type="dxa"/>
              <w:left w:w="100" w:type="dxa"/>
              <w:bottom w:w="100" w:type="dxa"/>
              <w:right w:w="100" w:type="dxa"/>
            </w:tcMar>
          </w:tcPr>
          <w:p w14:paraId="6DB62513" w14:textId="77777777" w:rsidR="00B8675F" w:rsidRDefault="00000000">
            <w:pPr>
              <w:widowControl w:val="0"/>
              <w:spacing w:line="240" w:lineRule="auto"/>
              <w:jc w:val="center"/>
              <w:rPr>
                <w:sz w:val="20"/>
                <w:szCs w:val="20"/>
              </w:rPr>
            </w:pPr>
            <w:hyperlink r:id="rId9">
              <w:r>
                <w:rPr>
                  <w:color w:val="1155CC"/>
                  <w:sz w:val="20"/>
                  <w:szCs w:val="20"/>
                  <w:u w:val="single"/>
                </w:rPr>
                <w:t>Grades 1–2</w:t>
              </w:r>
            </w:hyperlink>
          </w:p>
        </w:tc>
        <w:tc>
          <w:tcPr>
            <w:tcW w:w="1872" w:type="dxa"/>
            <w:shd w:val="clear" w:color="auto" w:fill="auto"/>
            <w:tcMar>
              <w:top w:w="100" w:type="dxa"/>
              <w:left w:w="100" w:type="dxa"/>
              <w:bottom w:w="100" w:type="dxa"/>
              <w:right w:w="100" w:type="dxa"/>
            </w:tcMar>
          </w:tcPr>
          <w:p w14:paraId="7FB92EE7" w14:textId="77777777" w:rsidR="00B8675F" w:rsidRDefault="00000000">
            <w:pPr>
              <w:widowControl w:val="0"/>
              <w:spacing w:line="240" w:lineRule="auto"/>
              <w:jc w:val="center"/>
              <w:rPr>
                <w:sz w:val="20"/>
                <w:szCs w:val="20"/>
              </w:rPr>
            </w:pPr>
            <w:hyperlink r:id="rId10">
              <w:r>
                <w:rPr>
                  <w:color w:val="1155CC"/>
                  <w:sz w:val="20"/>
                  <w:szCs w:val="20"/>
                  <w:u w:val="single"/>
                </w:rPr>
                <w:t>Grades 3–5</w:t>
              </w:r>
            </w:hyperlink>
          </w:p>
        </w:tc>
        <w:tc>
          <w:tcPr>
            <w:tcW w:w="1872" w:type="dxa"/>
            <w:shd w:val="clear" w:color="auto" w:fill="auto"/>
            <w:tcMar>
              <w:top w:w="100" w:type="dxa"/>
              <w:left w:w="100" w:type="dxa"/>
              <w:bottom w:w="100" w:type="dxa"/>
              <w:right w:w="100" w:type="dxa"/>
            </w:tcMar>
          </w:tcPr>
          <w:p w14:paraId="7E494E6C" w14:textId="77777777" w:rsidR="00B8675F" w:rsidRDefault="00000000">
            <w:pPr>
              <w:widowControl w:val="0"/>
              <w:spacing w:line="240" w:lineRule="auto"/>
              <w:jc w:val="center"/>
              <w:rPr>
                <w:sz w:val="20"/>
                <w:szCs w:val="20"/>
              </w:rPr>
            </w:pPr>
            <w:hyperlink r:id="rId11">
              <w:r>
                <w:rPr>
                  <w:color w:val="1155CC"/>
                  <w:sz w:val="20"/>
                  <w:szCs w:val="20"/>
                  <w:u w:val="single"/>
                </w:rPr>
                <w:t>Grades 6–8</w:t>
              </w:r>
            </w:hyperlink>
          </w:p>
        </w:tc>
        <w:tc>
          <w:tcPr>
            <w:tcW w:w="1872" w:type="dxa"/>
            <w:shd w:val="clear" w:color="auto" w:fill="auto"/>
            <w:tcMar>
              <w:top w:w="100" w:type="dxa"/>
              <w:left w:w="100" w:type="dxa"/>
              <w:bottom w:w="100" w:type="dxa"/>
              <w:right w:w="100" w:type="dxa"/>
            </w:tcMar>
          </w:tcPr>
          <w:p w14:paraId="5D5284D6" w14:textId="77777777" w:rsidR="00B8675F" w:rsidRDefault="00000000">
            <w:pPr>
              <w:widowControl w:val="0"/>
              <w:spacing w:line="240" w:lineRule="auto"/>
              <w:jc w:val="center"/>
              <w:rPr>
                <w:sz w:val="20"/>
                <w:szCs w:val="20"/>
              </w:rPr>
            </w:pPr>
            <w:hyperlink r:id="rId12">
              <w:r>
                <w:rPr>
                  <w:color w:val="1155CC"/>
                  <w:sz w:val="20"/>
                  <w:szCs w:val="20"/>
                  <w:u w:val="single"/>
                </w:rPr>
                <w:t>Grades 9–12</w:t>
              </w:r>
            </w:hyperlink>
          </w:p>
        </w:tc>
      </w:tr>
    </w:tbl>
    <w:p w14:paraId="5482928E" w14:textId="77777777" w:rsidR="00B8675F" w:rsidRDefault="00B8675F"/>
    <w:p w14:paraId="303D3F0F" w14:textId="77777777" w:rsidR="00B8675F" w:rsidRDefault="00000000">
      <w:r>
        <w:t>Thank you for your support!</w:t>
      </w:r>
    </w:p>
    <w:p w14:paraId="38A8E463" w14:textId="122331E4" w:rsidR="00B8675F" w:rsidRPr="009B2E52" w:rsidRDefault="009B2E52">
      <w:pPr>
        <w:rPr>
          <w:rFonts w:ascii="Fave Script Bold Pro" w:hAnsi="Fave Script Bold Pro"/>
          <w:sz w:val="40"/>
          <w:szCs w:val="40"/>
        </w:rPr>
      </w:pPr>
      <w:r>
        <w:rPr>
          <w:rFonts w:ascii="Fave Script Bold Pro" w:hAnsi="Fave Script Bold Pro"/>
          <w:sz w:val="40"/>
          <w:szCs w:val="40"/>
        </w:rPr>
        <w:t>Mrs. White &amp; the Lottie Staff</w:t>
      </w:r>
    </w:p>
    <w:p w14:paraId="424E7DCF" w14:textId="77777777" w:rsidR="00B8675F" w:rsidRDefault="00B8675F"/>
    <w:p w14:paraId="583D51DA" w14:textId="77777777" w:rsidR="00B8675F" w:rsidRDefault="00B8675F"/>
    <w:p w14:paraId="437A085D" w14:textId="77777777" w:rsidR="00B8675F" w:rsidRDefault="00B8675F"/>
    <w:p w14:paraId="3B9FAE67" w14:textId="77777777" w:rsidR="00B8675F" w:rsidRDefault="00B8675F"/>
    <w:sectPr w:rsidR="00B8675F">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3D38" w14:textId="77777777" w:rsidR="00484E97" w:rsidRDefault="00484E97">
      <w:pPr>
        <w:spacing w:line="240" w:lineRule="auto"/>
      </w:pPr>
      <w:r>
        <w:separator/>
      </w:r>
    </w:p>
  </w:endnote>
  <w:endnote w:type="continuationSeparator" w:id="0">
    <w:p w14:paraId="6E9C9AA0" w14:textId="77777777" w:rsidR="00484E97" w:rsidRDefault="00484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ve Script Bold Pro">
    <w:charset w:val="00"/>
    <w:family w:val="auto"/>
    <w:pitch w:val="variable"/>
    <w:sig w:usb0="8000002F" w:usb1="5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8730" w14:textId="77777777" w:rsidR="00B8675F" w:rsidRDefault="00000000">
    <w:pPr>
      <w:spacing w:line="240" w:lineRule="auto"/>
      <w:ind w:left="90" w:right="480"/>
    </w:pPr>
    <w:proofErr w:type="gramStart"/>
    <w:r>
      <w:rPr>
        <w:b/>
        <w:color w:val="215732"/>
        <w:sz w:val="12"/>
        <w:szCs w:val="12"/>
      </w:rPr>
      <w:t>www.posproject.org</w:t>
    </w:r>
    <w:r>
      <w:rPr>
        <w:color w:val="215732"/>
        <w:sz w:val="12"/>
        <w:szCs w:val="12"/>
      </w:rPr>
      <w:t xml:space="preserve">  |</w:t>
    </w:r>
    <w:proofErr w:type="gramEnd"/>
    <w:r>
      <w:rPr>
        <w:color w:val="215732"/>
        <w:sz w:val="12"/>
        <w:szCs w:val="12"/>
      </w:rPr>
      <w:t xml:space="preserve">  </w:t>
    </w:r>
    <w:r>
      <w:rPr>
        <w:b/>
        <w:color w:val="215732"/>
        <w:sz w:val="12"/>
        <w:szCs w:val="12"/>
      </w:rPr>
      <w:t>#PositivityInAction</w:t>
    </w:r>
    <w:r>
      <w:rPr>
        <w:color w:val="215732"/>
        <w:sz w:val="12"/>
        <w:szCs w:val="12"/>
      </w:rPr>
      <w:t xml:space="preserve">  |  ©2024 The Positivity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7D24" w14:textId="77777777" w:rsidR="00484E97" w:rsidRDefault="00484E97">
      <w:pPr>
        <w:spacing w:line="240" w:lineRule="auto"/>
      </w:pPr>
      <w:r>
        <w:separator/>
      </w:r>
    </w:p>
  </w:footnote>
  <w:footnote w:type="continuationSeparator" w:id="0">
    <w:p w14:paraId="622F72BF" w14:textId="77777777" w:rsidR="00484E97" w:rsidRDefault="00484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436A" w14:textId="77777777" w:rsidR="00B8675F" w:rsidRDefault="00000000">
    <w:pPr>
      <w:tabs>
        <w:tab w:val="center" w:pos="4320"/>
        <w:tab w:val="right" w:pos="8640"/>
      </w:tabs>
      <w:spacing w:before="720" w:line="240" w:lineRule="auto"/>
    </w:pPr>
    <w:r>
      <w:rPr>
        <w:noProof/>
        <w:sz w:val="20"/>
        <w:szCs w:val="20"/>
      </w:rPr>
      <w:drawing>
        <wp:anchor distT="0" distB="0" distL="114300" distR="114300" simplePos="0" relativeHeight="251658240" behindDoc="1" locked="0" layoutInCell="1" allowOverlap="1" wp14:anchorId="0FAC975C" wp14:editId="2EB316D5">
          <wp:simplePos x="0" y="0"/>
          <wp:positionH relativeFrom="column">
            <wp:posOffset>4572000</wp:posOffset>
          </wp:positionH>
          <wp:positionV relativeFrom="page">
            <wp:posOffset>514350</wp:posOffset>
          </wp:positionV>
          <wp:extent cx="857250" cy="1139825"/>
          <wp:effectExtent l="0" t="0" r="0" b="3175"/>
          <wp:wrapTight wrapText="bothSides">
            <wp:wrapPolygon edited="0">
              <wp:start x="4320" y="0"/>
              <wp:lineTo x="1920" y="722"/>
              <wp:lineTo x="1440" y="8664"/>
              <wp:lineTo x="4320" y="11552"/>
              <wp:lineTo x="6720" y="11552"/>
              <wp:lineTo x="0" y="16245"/>
              <wp:lineTo x="0" y="21299"/>
              <wp:lineTo x="9120" y="21299"/>
              <wp:lineTo x="12480" y="21299"/>
              <wp:lineTo x="18240" y="21299"/>
              <wp:lineTo x="21120" y="19855"/>
              <wp:lineTo x="21120" y="16245"/>
              <wp:lineTo x="14400" y="11552"/>
              <wp:lineTo x="17280" y="11552"/>
              <wp:lineTo x="20160" y="8303"/>
              <wp:lineTo x="19200" y="722"/>
              <wp:lineTo x="16800" y="0"/>
              <wp:lineTo x="432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57250" cy="11398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5F"/>
    <w:rsid w:val="00484E97"/>
    <w:rsid w:val="009B2E52"/>
    <w:rsid w:val="00B72FA8"/>
    <w:rsid w:val="00B8675F"/>
    <w:rsid w:val="00C9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EA3D"/>
  <w15:docId w15:val="{B5F0724D-CBAA-4884-A8CE-918F3E50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E52"/>
    <w:pPr>
      <w:tabs>
        <w:tab w:val="center" w:pos="4680"/>
        <w:tab w:val="right" w:pos="9360"/>
      </w:tabs>
      <w:spacing w:line="240" w:lineRule="auto"/>
    </w:pPr>
  </w:style>
  <w:style w:type="character" w:customStyle="1" w:styleId="HeaderChar">
    <w:name w:val="Header Char"/>
    <w:basedOn w:val="DefaultParagraphFont"/>
    <w:link w:val="Header"/>
    <w:uiPriority w:val="99"/>
    <w:rsid w:val="009B2E52"/>
  </w:style>
  <w:style w:type="paragraph" w:styleId="Footer">
    <w:name w:val="footer"/>
    <w:basedOn w:val="Normal"/>
    <w:link w:val="FooterChar"/>
    <w:uiPriority w:val="99"/>
    <w:unhideWhenUsed/>
    <w:rsid w:val="009B2E52"/>
    <w:pPr>
      <w:tabs>
        <w:tab w:val="center" w:pos="4680"/>
        <w:tab w:val="right" w:pos="9360"/>
      </w:tabs>
      <w:spacing w:line="240" w:lineRule="auto"/>
    </w:pPr>
  </w:style>
  <w:style w:type="character" w:customStyle="1" w:styleId="FooterChar">
    <w:name w:val="Footer Char"/>
    <w:basedOn w:val="DefaultParagraphFont"/>
    <w:link w:val="Footer"/>
    <w:uiPriority w:val="99"/>
    <w:rsid w:val="009B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sproject.org/p2-for-families/pre-k-k/braver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osproject.org/p2-para-familias-espanol/" TargetMode="External"/><Relationship Id="rId12" Type="http://schemas.openxmlformats.org/officeDocument/2006/relationships/hyperlink" Target="https://posproject.org/p2-for-families/9-12/brave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sproject.org/p2-for-families/" TargetMode="External"/><Relationship Id="rId11" Type="http://schemas.openxmlformats.org/officeDocument/2006/relationships/hyperlink" Target="https://posproject.org/p2-for-families/6-8/braver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osproject.org/p2-for-families/3-5/bravery/" TargetMode="External"/><Relationship Id="rId4" Type="http://schemas.openxmlformats.org/officeDocument/2006/relationships/footnotes" Target="footnotes.xml"/><Relationship Id="rId9" Type="http://schemas.openxmlformats.org/officeDocument/2006/relationships/hyperlink" Target="https://posproject.org/p2-for-families/1-2/bravery-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White</dc:creator>
  <cp:lastModifiedBy>Yolanda White</cp:lastModifiedBy>
  <cp:revision>3</cp:revision>
  <dcterms:created xsi:type="dcterms:W3CDTF">2024-11-04T01:15:00Z</dcterms:created>
  <dcterms:modified xsi:type="dcterms:W3CDTF">2024-11-04T01:17:00Z</dcterms:modified>
</cp:coreProperties>
</file>